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CDF9" w14:textId="77777777" w:rsidR="00FD183B" w:rsidRDefault="00FD183B" w:rsidP="00FD183B">
      <w:pPr>
        <w:spacing w:line="240" w:lineRule="auto"/>
        <w:jc w:val="center"/>
        <w:rPr>
          <w:rFonts w:ascii="Lucida Handwriting" w:hAnsi="Lucida Handwriting"/>
          <w:b/>
          <w:bCs/>
          <w:color w:val="00B050"/>
          <w:sz w:val="48"/>
          <w:szCs w:val="48"/>
        </w:rPr>
      </w:pPr>
      <w:r>
        <w:rPr>
          <w:rFonts w:ascii="Lucida Handwriting" w:hAnsi="Lucida Handwriting"/>
          <w:b/>
          <w:bCs/>
          <w:color w:val="00B050"/>
          <w:sz w:val="48"/>
          <w:szCs w:val="48"/>
        </w:rPr>
        <w:t>Save the Date</w:t>
      </w:r>
    </w:p>
    <w:p w14:paraId="2763DC15" w14:textId="52A6CF41" w:rsidR="00FD183B" w:rsidRDefault="00FD183B" w:rsidP="00FD183B">
      <w:pPr>
        <w:spacing w:line="240" w:lineRule="auto"/>
        <w:jc w:val="center"/>
        <w:rPr>
          <w:rFonts w:ascii="Lucida Handwriting" w:hAnsi="Lucida Handwriting"/>
          <w:b/>
          <w:bCs/>
          <w:color w:val="00B050"/>
          <w:sz w:val="48"/>
          <w:szCs w:val="48"/>
        </w:rPr>
      </w:pPr>
      <w:r>
        <w:rPr>
          <w:sz w:val="28"/>
          <w:szCs w:val="28"/>
        </w:rPr>
        <w:t>ProMedica’s Continuing Medical Education Department Presents</w:t>
      </w:r>
    </w:p>
    <w:p w14:paraId="3CFEE76C" w14:textId="77777777" w:rsidR="00FD183B" w:rsidRPr="00FD183B" w:rsidRDefault="00FD183B" w:rsidP="00FD183B">
      <w:pPr>
        <w:spacing w:line="240" w:lineRule="auto"/>
        <w:contextualSpacing/>
        <w:jc w:val="center"/>
        <w:rPr>
          <w:sz w:val="20"/>
          <w:szCs w:val="20"/>
        </w:rPr>
      </w:pPr>
    </w:p>
    <w:p w14:paraId="1A00F340" w14:textId="77777777" w:rsidR="00FD183B" w:rsidRDefault="00FD183B" w:rsidP="00FD183B">
      <w:pPr>
        <w:spacing w:line="240" w:lineRule="auto"/>
        <w:contextualSpacing/>
        <w:jc w:val="center"/>
        <w:rPr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  <w:t>28</w:t>
      </w:r>
      <w:r>
        <w:rPr>
          <w:b/>
          <w:bCs/>
          <w:color w:val="00B050"/>
          <w:sz w:val="56"/>
          <w:szCs w:val="56"/>
          <w:vertAlign w:val="superscript"/>
        </w:rPr>
        <w:t>th</w:t>
      </w:r>
      <w:r>
        <w:rPr>
          <w:b/>
          <w:bCs/>
          <w:color w:val="00B050"/>
          <w:sz w:val="56"/>
          <w:szCs w:val="56"/>
        </w:rPr>
        <w:t xml:space="preserve"> Psychiatric Symposium: </w:t>
      </w:r>
    </w:p>
    <w:p w14:paraId="3180AFFF" w14:textId="77777777" w:rsidR="00FD183B" w:rsidRDefault="00FD183B" w:rsidP="00FD183B">
      <w:pPr>
        <w:spacing w:line="240" w:lineRule="auto"/>
        <w:contextualSpacing/>
        <w:jc w:val="center"/>
        <w:rPr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  <w:t xml:space="preserve">Clinical Updates in Psychiatry </w:t>
      </w:r>
    </w:p>
    <w:p w14:paraId="30ECA9FF" w14:textId="77777777" w:rsidR="00FD183B" w:rsidRPr="00FD183B" w:rsidRDefault="00FD183B" w:rsidP="00FD183B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024265BF" w14:textId="77777777" w:rsidR="00FD183B" w:rsidRDefault="00FD183B" w:rsidP="00FD183B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Friday, April 18, 2025</w:t>
      </w:r>
    </w:p>
    <w:p w14:paraId="4845F627" w14:textId="77777777" w:rsidR="00FD183B" w:rsidRPr="00FD183B" w:rsidRDefault="00FD183B" w:rsidP="00FD183B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3F00FEA0" w14:textId="77777777" w:rsidR="00FD183B" w:rsidRDefault="00FD183B" w:rsidP="00FD183B">
      <w:pPr>
        <w:spacing w:line="240" w:lineRule="auto"/>
        <w:contextualSpacing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Registration: 7 a.m.</w:t>
      </w:r>
    </w:p>
    <w:p w14:paraId="24352368" w14:textId="77777777" w:rsidR="00FD183B" w:rsidRDefault="00FD183B" w:rsidP="00FD183B">
      <w:pPr>
        <w:spacing w:line="240" w:lineRule="auto"/>
        <w:contextualSpacing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Conference: 8 a.m. – 4 p.m.</w:t>
      </w:r>
    </w:p>
    <w:p w14:paraId="259C1A1C" w14:textId="77777777" w:rsidR="00FD183B" w:rsidRPr="001F0BC2" w:rsidRDefault="00FD183B" w:rsidP="00FD183B">
      <w:pPr>
        <w:spacing w:line="240" w:lineRule="auto"/>
        <w:contextualSpacing/>
        <w:jc w:val="center"/>
        <w:rPr>
          <w:b/>
          <w:bCs/>
          <w:color w:val="00B050"/>
          <w:sz w:val="16"/>
          <w:szCs w:val="16"/>
        </w:rPr>
      </w:pPr>
    </w:p>
    <w:p w14:paraId="70A26907" w14:textId="77777777" w:rsidR="00FD183B" w:rsidRDefault="00FD183B" w:rsidP="00FD183B">
      <w:pPr>
        <w:spacing w:line="240" w:lineRule="auto"/>
        <w:contextualSpacing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Hilton Garden Inn Conference Center</w:t>
      </w:r>
    </w:p>
    <w:p w14:paraId="21A42EFA" w14:textId="77777777" w:rsidR="00FD183B" w:rsidRDefault="00FD183B" w:rsidP="00FD183B">
      <w:pPr>
        <w:spacing w:line="240" w:lineRule="auto"/>
        <w:contextualSpacing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6165 </w:t>
      </w:r>
      <w:proofErr w:type="spellStart"/>
      <w:r>
        <w:rPr>
          <w:b/>
          <w:bCs/>
          <w:color w:val="00B050"/>
          <w:sz w:val="32"/>
          <w:szCs w:val="32"/>
        </w:rPr>
        <w:t>Levis</w:t>
      </w:r>
      <w:proofErr w:type="spellEnd"/>
      <w:r>
        <w:rPr>
          <w:b/>
          <w:bCs/>
          <w:color w:val="00B050"/>
          <w:sz w:val="32"/>
          <w:szCs w:val="32"/>
        </w:rPr>
        <w:t xml:space="preserve"> Commons Blvd.</w:t>
      </w:r>
    </w:p>
    <w:p w14:paraId="32AAE2FF" w14:textId="77777777" w:rsidR="00FD183B" w:rsidRDefault="00FD183B" w:rsidP="00FD183B">
      <w:pPr>
        <w:spacing w:line="240" w:lineRule="auto"/>
        <w:contextualSpacing/>
        <w:jc w:val="center"/>
        <w:rPr>
          <w:b/>
          <w:bCs/>
          <w:color w:val="00B050"/>
        </w:rPr>
      </w:pPr>
      <w:r>
        <w:rPr>
          <w:b/>
          <w:bCs/>
          <w:color w:val="00B050"/>
          <w:sz w:val="32"/>
          <w:szCs w:val="32"/>
        </w:rPr>
        <w:t>Perrysburg, Ohio 43551</w:t>
      </w:r>
    </w:p>
    <w:p w14:paraId="60D310A0" w14:textId="77777777" w:rsidR="00FD183B" w:rsidRPr="001F0BC2" w:rsidRDefault="00FD183B" w:rsidP="00FD183B">
      <w:pPr>
        <w:spacing w:line="240" w:lineRule="auto"/>
        <w:contextualSpacing/>
        <w:jc w:val="center"/>
        <w:rPr>
          <w:sz w:val="16"/>
          <w:szCs w:val="16"/>
        </w:rPr>
      </w:pPr>
    </w:p>
    <w:p w14:paraId="1C31A89D" w14:textId="77777777" w:rsidR="00FD183B" w:rsidRDefault="00FD183B" w:rsidP="00FD183B">
      <w:pPr>
        <w:jc w:val="center"/>
        <w:rPr>
          <w:color w:val="92D050"/>
          <w:sz w:val="32"/>
          <w:szCs w:val="32"/>
        </w:rPr>
      </w:pPr>
      <w:r>
        <w:rPr>
          <w:color w:val="92D050"/>
          <w:sz w:val="32"/>
          <w:szCs w:val="32"/>
        </w:rPr>
        <w:t>Highlights will Include:</w:t>
      </w:r>
    </w:p>
    <w:p w14:paraId="381E4463" w14:textId="27EC4348" w:rsidR="00FD183B" w:rsidRDefault="00FD183B" w:rsidP="001F0BC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36"/>
          <w:szCs w:val="36"/>
        </w:rPr>
      </w:pPr>
      <w:r w:rsidRPr="001F0BC2">
        <w:rPr>
          <w:rFonts w:ascii="Arial" w:hAnsi="Arial" w:cs="Arial"/>
          <w:b/>
          <w:bCs/>
          <w:sz w:val="36"/>
          <w:szCs w:val="36"/>
        </w:rPr>
        <w:t>Workplace Violence</w:t>
      </w:r>
      <w:r w:rsidR="001F0BC2" w:rsidRPr="001F0BC2">
        <w:rPr>
          <w:rFonts w:ascii="Arial" w:hAnsi="Arial" w:cs="Arial"/>
          <w:b/>
          <w:bCs/>
          <w:sz w:val="36"/>
          <w:szCs w:val="36"/>
        </w:rPr>
        <w:t xml:space="preserve"> in Healthcare</w:t>
      </w:r>
    </w:p>
    <w:p w14:paraId="7C7DB48F" w14:textId="77777777" w:rsidR="001F0BC2" w:rsidRPr="001F0BC2" w:rsidRDefault="001F0BC2" w:rsidP="001F0BC2">
      <w:pPr>
        <w:pStyle w:val="ListParagraph"/>
        <w:rPr>
          <w:rFonts w:ascii="Arial" w:hAnsi="Arial" w:cs="Arial"/>
          <w:b/>
          <w:bCs/>
          <w:sz w:val="16"/>
          <w:szCs w:val="16"/>
        </w:rPr>
      </w:pPr>
    </w:p>
    <w:p w14:paraId="2F5ADCD4" w14:textId="77777777" w:rsidR="001F0BC2" w:rsidRDefault="001F0BC2" w:rsidP="001F0BC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36"/>
          <w:szCs w:val="36"/>
        </w:rPr>
      </w:pPr>
      <w:r w:rsidRPr="001F0BC2">
        <w:rPr>
          <w:rFonts w:ascii="Arial" w:hAnsi="Arial" w:cs="Arial"/>
          <w:b/>
          <w:bCs/>
          <w:sz w:val="36"/>
          <w:szCs w:val="36"/>
        </w:rPr>
        <w:t>Working with Difficult Patients/</w:t>
      </w:r>
    </w:p>
    <w:p w14:paraId="7C324A06" w14:textId="217F6538" w:rsidR="00FD183B" w:rsidRDefault="001F0BC2" w:rsidP="001F0BC2">
      <w:pPr>
        <w:pStyle w:val="ListParagraph"/>
        <w:ind w:left="2160" w:firstLine="720"/>
        <w:rPr>
          <w:rFonts w:ascii="Arial" w:hAnsi="Arial" w:cs="Arial"/>
          <w:b/>
          <w:bCs/>
          <w:sz w:val="36"/>
          <w:szCs w:val="36"/>
        </w:rPr>
      </w:pPr>
      <w:r w:rsidRPr="001F0BC2">
        <w:rPr>
          <w:rFonts w:ascii="Arial" w:hAnsi="Arial" w:cs="Arial"/>
          <w:b/>
          <w:bCs/>
          <w:sz w:val="36"/>
          <w:szCs w:val="36"/>
        </w:rPr>
        <w:t>Engaging with Dissatisfied Patients</w:t>
      </w:r>
    </w:p>
    <w:p w14:paraId="6D3F5FBD" w14:textId="77777777" w:rsidR="001F0BC2" w:rsidRPr="001F0BC2" w:rsidRDefault="001F0BC2" w:rsidP="001F0BC2">
      <w:pPr>
        <w:pStyle w:val="ListParagraph"/>
        <w:ind w:left="2160" w:firstLine="720"/>
        <w:rPr>
          <w:rFonts w:ascii="Arial" w:hAnsi="Arial" w:cs="Arial"/>
          <w:b/>
          <w:bCs/>
          <w:sz w:val="16"/>
          <w:szCs w:val="16"/>
        </w:rPr>
      </w:pPr>
    </w:p>
    <w:p w14:paraId="304ED3FF" w14:textId="4DDC2E26" w:rsidR="00FD183B" w:rsidRDefault="001F0BC2" w:rsidP="001F0BC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36"/>
          <w:szCs w:val="36"/>
        </w:rPr>
      </w:pPr>
      <w:r w:rsidRPr="001F0BC2">
        <w:rPr>
          <w:rFonts w:ascii="Arial" w:hAnsi="Arial" w:cs="Arial"/>
          <w:b/>
          <w:bCs/>
          <w:sz w:val="36"/>
          <w:szCs w:val="36"/>
        </w:rPr>
        <w:t>Disaggregating Ethnicities and Differential Histories of Racial Trauma within Black Americans</w:t>
      </w:r>
    </w:p>
    <w:p w14:paraId="08E2F7D5" w14:textId="77777777" w:rsidR="001F0BC2" w:rsidRPr="001F0BC2" w:rsidRDefault="001F0BC2" w:rsidP="001F0BC2">
      <w:pPr>
        <w:pStyle w:val="ListParagraph"/>
        <w:rPr>
          <w:rFonts w:ascii="Arial" w:hAnsi="Arial" w:cs="Arial"/>
          <w:b/>
          <w:bCs/>
          <w:sz w:val="16"/>
          <w:szCs w:val="16"/>
        </w:rPr>
      </w:pPr>
    </w:p>
    <w:p w14:paraId="3206F7E0" w14:textId="20E5590D" w:rsidR="001F0BC2" w:rsidRDefault="001F0BC2" w:rsidP="001F0BC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36"/>
          <w:szCs w:val="36"/>
        </w:rPr>
      </w:pPr>
      <w:r w:rsidRPr="001F0BC2">
        <w:rPr>
          <w:rFonts w:ascii="Arial" w:hAnsi="Arial" w:cs="Arial"/>
          <w:b/>
          <w:bCs/>
          <w:sz w:val="36"/>
          <w:szCs w:val="36"/>
        </w:rPr>
        <w:t>Racism and Ageism: Strange Fruit of the Same Tree</w:t>
      </w:r>
    </w:p>
    <w:p w14:paraId="6FAD7DFA" w14:textId="77777777" w:rsidR="001F0BC2" w:rsidRPr="001F0BC2" w:rsidRDefault="001F0BC2" w:rsidP="001F0BC2">
      <w:pPr>
        <w:pStyle w:val="ListParagraph"/>
        <w:rPr>
          <w:rFonts w:ascii="Arial" w:hAnsi="Arial" w:cs="Arial"/>
          <w:b/>
          <w:bCs/>
          <w:sz w:val="16"/>
          <w:szCs w:val="16"/>
        </w:rPr>
      </w:pPr>
    </w:p>
    <w:p w14:paraId="7B1A3991" w14:textId="77777777" w:rsidR="001F0BC2" w:rsidRPr="001F0BC2" w:rsidRDefault="001F0BC2" w:rsidP="001F0BC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36"/>
          <w:szCs w:val="36"/>
        </w:rPr>
      </w:pPr>
      <w:r w:rsidRPr="001F0BC2">
        <w:rPr>
          <w:rFonts w:ascii="Arial" w:hAnsi="Arial" w:cs="Arial"/>
          <w:b/>
          <w:bCs/>
          <w:sz w:val="36"/>
          <w:szCs w:val="36"/>
        </w:rPr>
        <w:t xml:space="preserve">Schizophrenia and Psychosis:  </w:t>
      </w:r>
    </w:p>
    <w:p w14:paraId="1BD8CF09" w14:textId="413A77FF" w:rsidR="001F0BC2" w:rsidRPr="001F0BC2" w:rsidRDefault="001F0BC2" w:rsidP="001F0BC2">
      <w:pPr>
        <w:pStyle w:val="ListParagraph"/>
        <w:ind w:left="2160" w:firstLine="720"/>
        <w:rPr>
          <w:rFonts w:ascii="Arial" w:hAnsi="Arial" w:cs="Arial"/>
          <w:b/>
          <w:bCs/>
          <w:sz w:val="36"/>
          <w:szCs w:val="36"/>
        </w:rPr>
      </w:pPr>
      <w:r w:rsidRPr="001F0BC2">
        <w:rPr>
          <w:rFonts w:ascii="Arial" w:hAnsi="Arial" w:cs="Arial"/>
          <w:b/>
          <w:bCs/>
          <w:sz w:val="36"/>
          <w:szCs w:val="36"/>
        </w:rPr>
        <w:t>Update and Clinical Management</w:t>
      </w:r>
    </w:p>
    <w:p w14:paraId="1D66189E" w14:textId="74AF8073" w:rsidR="00FD183B" w:rsidRDefault="00FD183B" w:rsidP="00FD18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activity is intended for psychiatrists, neurologists, family practitioners, internists, hospitalists, emergency department physicians and residents. It will also meet the educational needs of psychologists, nurses, pharmacists, social </w:t>
      </w:r>
      <w:r w:rsidR="001F0BC2">
        <w:rPr>
          <w:rFonts w:ascii="Arial" w:hAnsi="Arial" w:cs="Arial"/>
        </w:rPr>
        <w:t>workers,</w:t>
      </w:r>
      <w:r>
        <w:rPr>
          <w:rFonts w:ascii="Arial" w:hAnsi="Arial" w:cs="Arial"/>
        </w:rPr>
        <w:t xml:space="preserve"> and counselors working in the mental health field and across the continuum of care. </w:t>
      </w:r>
    </w:p>
    <w:p w14:paraId="70CB18B9" w14:textId="77777777" w:rsidR="00FD183B" w:rsidRDefault="00FD183B" w:rsidP="00FD183B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Conference brochures will be mailed soon.</w:t>
      </w:r>
    </w:p>
    <w:p w14:paraId="1E41C4CA" w14:textId="77777777" w:rsidR="00FD183B" w:rsidRDefault="00FD183B" w:rsidP="00FD183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contact ProMedica’s Continuing Medical Education Department, </w:t>
      </w:r>
    </w:p>
    <w:p w14:paraId="3A805B4E" w14:textId="60A4684A" w:rsidR="00FD183B" w:rsidRDefault="00FD183B" w:rsidP="00FD183B">
      <w:pPr>
        <w:spacing w:line="240" w:lineRule="auto"/>
        <w:contextualSpacing/>
        <w:jc w:val="center"/>
      </w:pPr>
      <w:r>
        <w:rPr>
          <w:rFonts w:ascii="Arial" w:hAnsi="Arial" w:cs="Arial"/>
        </w:rPr>
        <w:t>419-291-4649</w:t>
      </w:r>
    </w:p>
    <w:p w14:paraId="2F9B1792" w14:textId="77777777" w:rsidR="00FD183B" w:rsidRDefault="00FD183B" w:rsidP="00FD183B">
      <w:pPr>
        <w:spacing w:line="240" w:lineRule="auto"/>
        <w:contextualSpacing/>
      </w:pPr>
    </w:p>
    <w:p w14:paraId="0CF1ECB9" w14:textId="0253B71C" w:rsidR="0020791F" w:rsidRDefault="00FD183B" w:rsidP="00FD183B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0CB56EAF" wp14:editId="78068B2A">
            <wp:extent cx="171450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91F" w:rsidSect="001F0BC2"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D0EE" w14:textId="77777777" w:rsidR="001F0BC2" w:rsidRDefault="001F0BC2" w:rsidP="001F0BC2">
      <w:pPr>
        <w:spacing w:after="0" w:line="240" w:lineRule="auto"/>
      </w:pPr>
      <w:r>
        <w:separator/>
      </w:r>
    </w:p>
  </w:endnote>
  <w:endnote w:type="continuationSeparator" w:id="0">
    <w:p w14:paraId="6A1D985D" w14:textId="77777777" w:rsidR="001F0BC2" w:rsidRDefault="001F0BC2" w:rsidP="001F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0979" w14:textId="7E3FFE2A" w:rsidR="001F0BC2" w:rsidRDefault="001F0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DE04" w14:textId="2F3ACFBB" w:rsidR="001F0BC2" w:rsidRDefault="001F0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FC50" w14:textId="3973EC3E" w:rsidR="001F0BC2" w:rsidRDefault="001F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0B13" w14:textId="77777777" w:rsidR="001F0BC2" w:rsidRDefault="001F0BC2" w:rsidP="001F0BC2">
      <w:pPr>
        <w:spacing w:after="0" w:line="240" w:lineRule="auto"/>
      </w:pPr>
      <w:r>
        <w:separator/>
      </w:r>
    </w:p>
  </w:footnote>
  <w:footnote w:type="continuationSeparator" w:id="0">
    <w:p w14:paraId="37C233C7" w14:textId="77777777" w:rsidR="001F0BC2" w:rsidRDefault="001F0BC2" w:rsidP="001F0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66D0"/>
    <w:multiLevelType w:val="hybridMultilevel"/>
    <w:tmpl w:val="20D4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7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B"/>
    <w:rsid w:val="0012739B"/>
    <w:rsid w:val="0017314E"/>
    <w:rsid w:val="001F0BC2"/>
    <w:rsid w:val="0020791F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33E4"/>
  <w15:chartTrackingRefBased/>
  <w15:docId w15:val="{065C51FC-D1EC-4E82-A420-210CE87E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3B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B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0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C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0F3E.2C382E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5412fd-e2b7-4511-9804-f38c63233f6d}" enabled="1" method="Privileged" siteId="{053af594-9471-4963-9f15-53432d54008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Company>ProMedica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Monaghan, Diane</dc:creator>
  <cp:keywords/>
  <dc:description/>
  <cp:lastModifiedBy>Monaghan, Diane</cp:lastModifiedBy>
  <cp:revision>3</cp:revision>
  <dcterms:created xsi:type="dcterms:W3CDTF">2025-01-21T18:00:00Z</dcterms:created>
  <dcterms:modified xsi:type="dcterms:W3CDTF">2025-03-05T15:18:00Z</dcterms:modified>
</cp:coreProperties>
</file>